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4E28" w:rsidRPr="00A64E28" w:rsidRDefault="00A64E28" w:rsidP="00A64E28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A64E28">
        <w:rPr>
          <w:rFonts w:ascii="Arial" w:eastAsia="MS Mincho" w:hAnsi="Arial"/>
          <w:b/>
          <w:noProof/>
          <w:sz w:val="24"/>
        </w:rPr>
        <w:t>3GPP TSG-</w:t>
      </w:r>
      <w:r w:rsidRPr="00A64E28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A64E28">
        <w:rPr>
          <w:rFonts w:ascii="Arial" w:eastAsia="MS Mincho" w:hAnsi="Arial"/>
          <w:b/>
          <w:noProof/>
          <w:sz w:val="24"/>
        </w:rPr>
        <w:t xml:space="preserve"> Meetin</w:t>
      </w:r>
      <w:r w:rsidRPr="00A64E28">
        <w:rPr>
          <w:rFonts w:ascii="Arial" w:eastAsia="MS Mincho" w:hAnsi="Arial"/>
          <w:b/>
          <w:noProof/>
          <w:sz w:val="24"/>
          <w:lang w:eastAsia="zh-CN"/>
        </w:rPr>
        <w:t>g #109</w:t>
      </w:r>
      <w:r w:rsidRPr="00A64E28">
        <w:rPr>
          <w:rFonts w:ascii="Arial" w:eastAsia="MS Mincho" w:hAnsi="Arial" w:cs="Arial"/>
          <w:b/>
          <w:noProof/>
          <w:sz w:val="24"/>
          <w:szCs w:val="24"/>
        </w:rPr>
        <w:tab/>
      </w:r>
      <w:r w:rsidR="00C63A93" w:rsidRPr="00C63A93">
        <w:rPr>
          <w:rFonts w:ascii="Arial" w:hAnsi="Arial" w:cs="Arial"/>
          <w:b/>
          <w:noProof/>
          <w:sz w:val="24"/>
          <w:szCs w:val="24"/>
          <w:lang w:eastAsia="zh-CN"/>
        </w:rPr>
        <w:t>R4-232023</w:t>
      </w:r>
      <w:r w:rsidR="00C63A93">
        <w:rPr>
          <w:rFonts w:ascii="Arial" w:hAnsi="Arial" w:cs="Arial"/>
          <w:b/>
          <w:noProof/>
          <w:sz w:val="24"/>
          <w:szCs w:val="24"/>
          <w:lang w:eastAsia="zh-CN"/>
        </w:rPr>
        <w:t>1</w:t>
      </w:r>
    </w:p>
    <w:bookmarkEnd w:id="0"/>
    <w:p w:rsidR="00A64E28" w:rsidRPr="00A64E28" w:rsidRDefault="00A64E28" w:rsidP="00A64E28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A64E28">
        <w:rPr>
          <w:rFonts w:ascii="Arial" w:eastAsia="MS Mincho" w:hAnsi="Arial"/>
          <w:b/>
          <w:noProof/>
          <w:sz w:val="24"/>
        </w:rPr>
        <w:t>Chicago, 13</w:t>
      </w:r>
      <w:r w:rsidRPr="00A64E2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64E28">
        <w:rPr>
          <w:rFonts w:ascii="Arial" w:eastAsia="MS Mincho" w:hAnsi="Arial"/>
          <w:b/>
          <w:noProof/>
          <w:sz w:val="24"/>
        </w:rPr>
        <w:t xml:space="preserve"> - 17</w:t>
      </w:r>
      <w:r w:rsidRPr="00A64E2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64E28">
        <w:rPr>
          <w:rFonts w:ascii="Arial" w:eastAsia="MS Mincho" w:hAnsi="Arial"/>
          <w:b/>
          <w:noProof/>
          <w:sz w:val="24"/>
        </w:rPr>
        <w:t xml:space="preserve"> Nov, 2023</w:t>
      </w:r>
      <w:bookmarkEnd w:id="1"/>
    </w:p>
    <w:p w:rsidR="0019273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12DCA" w:rsidRPr="00F12DCA">
        <w:rPr>
          <w:rFonts w:ascii="Arial" w:hAnsi="Arial"/>
          <w:sz w:val="24"/>
          <w:lang w:val="en-US" w:eastAsia="zh-CN"/>
        </w:rPr>
        <w:t>Discussion on UE demodulation requirements for MIMO evolution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C63A93" w:rsidRPr="00C63A93">
        <w:rPr>
          <w:rFonts w:ascii="Arial" w:hAnsi="Arial"/>
          <w:sz w:val="24"/>
          <w:lang w:val="pt-BR"/>
        </w:rPr>
        <w:t>8.29.4.1</w:t>
      </w:r>
      <w:bookmarkStart w:id="2" w:name="_GoBack"/>
      <w:bookmarkEnd w:id="2"/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 xml:space="preserve">During </w:t>
      </w:r>
      <w:r w:rsidR="00A64E28" w:rsidRPr="00A64E28">
        <w:rPr>
          <w:lang w:eastAsia="zh-CN"/>
        </w:rPr>
        <w:t>RAN4#108b</w:t>
      </w:r>
      <w:r>
        <w:rPr>
          <w:lang w:eastAsia="zh-CN"/>
        </w:rPr>
        <w:t xml:space="preserve"> meeting, </w:t>
      </w:r>
      <w:r w:rsidR="00A64E28" w:rsidRPr="00A64E28">
        <w:rPr>
          <w:lang w:eastAsia="zh-CN"/>
        </w:rPr>
        <w:t>WF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A64E28" w:rsidRPr="00A64E28">
        <w:rPr>
          <w:lang w:eastAsia="zh-CN"/>
        </w:rPr>
        <w:t>on NR_MIMO_evo_DL_UL_demod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about </w:t>
      </w:r>
      <w:r w:rsidR="00F0567D" w:rsidRPr="00F0567D">
        <w:rPr>
          <w:lang w:val="en-US" w:eastAsia="zh-CN"/>
        </w:rPr>
        <w:t>UE demodulation requirements for MIMO evolution</w:t>
      </w:r>
      <w:r>
        <w:rPr>
          <w:lang w:val="en-US" w:eastAsia="zh-CN"/>
        </w:rPr>
        <w:t>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CA38D5" w:rsidRDefault="00CA38D5" w:rsidP="002E3DD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est scope</w:t>
      </w:r>
    </w:p>
    <w:p w:rsidR="00771A8A" w:rsidRDefault="00CE2753" w:rsidP="00CE2753">
      <w:pPr>
        <w:pStyle w:val="3"/>
        <w:rPr>
          <w:lang w:val="en-US" w:eastAsia="zh-CN"/>
        </w:rPr>
      </w:pPr>
      <w:r>
        <w:rPr>
          <w:lang w:val="en-US" w:eastAsia="zh-CN"/>
        </w:rPr>
        <w:t>C</w:t>
      </w:r>
      <w:r w:rsidRPr="00CE2753">
        <w:rPr>
          <w:lang w:val="en-US" w:eastAsia="zh-CN"/>
        </w:rPr>
        <w:t>odebook enhancement for UE predicated PMI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E2753" w:rsidRPr="00CE2753" w:rsidTr="00CE2753">
        <w:tc>
          <w:tcPr>
            <w:tcW w:w="10456" w:type="dxa"/>
          </w:tcPr>
          <w:p w:rsidR="00CE2753" w:rsidRPr="00CE2753" w:rsidRDefault="00CE2753" w:rsidP="00CE2753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jc w:val="both"/>
              <w:textAlignment w:val="baseline"/>
              <w:rPr>
                <w:rFonts w:eastAsia="Times New Roman"/>
                <w:i/>
                <w:lang w:eastAsia="zh-CN"/>
              </w:rPr>
            </w:pPr>
            <w:r w:rsidRPr="00CE2753">
              <w:rPr>
                <w:rFonts w:eastAsia="Times New Roman"/>
                <w:i/>
                <w:lang w:eastAsia="zh-CN"/>
              </w:rPr>
              <w:t>Study the feasibility of introducing PMI reporting requirements with ‘typeII-Doppler-r18’ (FR1 only).</w:t>
            </w:r>
          </w:p>
          <w:p w:rsidR="00CE2753" w:rsidRPr="00CE2753" w:rsidRDefault="00CE2753" w:rsidP="00CE2753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lang w:eastAsia="zh-CN"/>
              </w:rPr>
            </w:pPr>
            <w:r w:rsidRPr="00CE2753">
              <w:rPr>
                <w:rFonts w:eastAsia="Times New Roman"/>
                <w:i/>
                <w:lang w:eastAsia="zh-CN"/>
              </w:rPr>
              <w:t>FFS for test metric</w:t>
            </w:r>
          </w:p>
          <w:p w:rsidR="00CE2753" w:rsidRPr="00CE2753" w:rsidRDefault="00CE2753" w:rsidP="00CE2753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lang w:eastAsia="zh-CN"/>
              </w:rPr>
            </w:pPr>
            <w:r w:rsidRPr="00CE2753">
              <w:rPr>
                <w:rFonts w:eastAsia="Times New Roman"/>
                <w:i/>
                <w:lang w:eastAsia="zh-CN"/>
              </w:rPr>
              <w:t>FFS for simulation assumptions</w:t>
            </w:r>
          </w:p>
        </w:tc>
      </w:tr>
    </w:tbl>
    <w:p w:rsidR="00CE2753" w:rsidRDefault="00CE2753" w:rsidP="00CE2753">
      <w:pPr>
        <w:rPr>
          <w:lang w:val="en-US" w:eastAsia="zh-CN"/>
        </w:rPr>
      </w:pPr>
    </w:p>
    <w:p w:rsidR="009D70BA" w:rsidRDefault="009D70BA" w:rsidP="00CE2753">
      <w:pPr>
        <w:rPr>
          <w:lang w:val="en-US" w:eastAsia="zh-CN"/>
        </w:rPr>
      </w:pPr>
      <w:r w:rsidRPr="009D70BA">
        <w:rPr>
          <w:lang w:val="en-US" w:eastAsia="zh-CN"/>
        </w:rPr>
        <w:t>In Rel-18, Type-II codebook refinement for high/medium velocities, that has benefit for the throughput improvement in some scenario, is supported for at most 4 layers, including both Rel-16 eTypeII codebook refinement and Rel-17 FeTypeII port selection codebook refinement. Considering that the new codebook has impact on baseband processing and also the PMI reporting requirements are defined for Rel-16 eTypeII codebook, we propose to define PMI reporting requirements for the new Rel-16-based doppler measurement type-II codebook.</w:t>
      </w:r>
      <w:r w:rsidRPr="009D70BA">
        <w:t xml:space="preserve"> </w:t>
      </w:r>
      <w:r w:rsidRPr="009D70BA">
        <w:rPr>
          <w:lang w:val="en-US" w:eastAsia="zh-CN"/>
        </w:rPr>
        <w:t xml:space="preserve">For the test metric, we </w:t>
      </w:r>
      <w:r>
        <w:rPr>
          <w:lang w:val="en-US" w:eastAsia="zh-CN"/>
        </w:rPr>
        <w:t>think it feasible</w:t>
      </w:r>
      <w:r w:rsidRPr="009D70BA">
        <w:rPr>
          <w:lang w:val="en-US" w:eastAsia="zh-CN"/>
        </w:rPr>
        <w:t xml:space="preserve"> to reuse the test metric from legacy PMI reporting requirements</w:t>
      </w:r>
      <w:r>
        <w:rPr>
          <w:lang w:val="en-US" w:eastAsia="zh-CN"/>
        </w:rPr>
        <w:t>.</w:t>
      </w:r>
    </w:p>
    <w:p w:rsidR="00FE405F" w:rsidRPr="009D70BA" w:rsidRDefault="009D70BA" w:rsidP="00CE2753">
      <w:pPr>
        <w:pStyle w:val="Proposal"/>
      </w:pPr>
      <w:r w:rsidRPr="009D70BA">
        <w:t>Define PMI reporting requirements for the new Rel-16-based doppler measurement type-II codebook.</w:t>
      </w:r>
    </w:p>
    <w:p w:rsidR="00771A8A" w:rsidRDefault="00771A8A" w:rsidP="00771A8A">
      <w:pPr>
        <w:pStyle w:val="3"/>
        <w:rPr>
          <w:lang w:val="en-US"/>
        </w:rPr>
      </w:pPr>
      <w:r>
        <w:rPr>
          <w:lang w:val="en-US"/>
        </w:rPr>
        <w:t>TDCP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71A8A" w:rsidRPr="0085108F" w:rsidTr="00941C14">
        <w:tc>
          <w:tcPr>
            <w:tcW w:w="10456" w:type="dxa"/>
          </w:tcPr>
          <w:p w:rsidR="00771A8A" w:rsidRPr="0085108F" w:rsidRDefault="00771A8A" w:rsidP="00941C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/>
                <w:i/>
                <w:lang w:eastAsia="zh-CN"/>
              </w:rPr>
            </w:pPr>
            <w:r w:rsidRPr="0085108F">
              <w:rPr>
                <w:rFonts w:eastAsia="等线" w:hint="eastAsia"/>
                <w:b/>
                <w:i/>
                <w:lang w:eastAsia="zh-CN"/>
              </w:rPr>
              <w:t>A</w:t>
            </w:r>
            <w:r w:rsidRPr="0085108F">
              <w:rPr>
                <w:rFonts w:eastAsia="等线"/>
                <w:b/>
                <w:i/>
                <w:lang w:eastAsia="zh-CN"/>
              </w:rPr>
              <w:t>greement:</w:t>
            </w:r>
          </w:p>
          <w:p w:rsidR="00771A8A" w:rsidRPr="0085108F" w:rsidRDefault="00771A8A" w:rsidP="00941C14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85108F">
              <w:rPr>
                <w:i/>
                <w:szCs w:val="24"/>
                <w:lang w:eastAsia="zh-CN"/>
              </w:rPr>
              <w:t>Do not introduce PDSCH demodulation requirements for TDCP measurement.</w:t>
            </w:r>
          </w:p>
          <w:p w:rsidR="00771A8A" w:rsidRPr="0085108F" w:rsidRDefault="00771A8A" w:rsidP="00941C14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85108F">
              <w:rPr>
                <w:i/>
                <w:szCs w:val="24"/>
                <w:lang w:eastAsia="zh-CN"/>
              </w:rPr>
              <w:t>FFS on CSI requirements for TDCP measurement</w:t>
            </w:r>
          </w:p>
        </w:tc>
      </w:tr>
    </w:tbl>
    <w:p w:rsidR="00771A8A" w:rsidRPr="0085108F" w:rsidRDefault="00771A8A" w:rsidP="00771A8A">
      <w:pPr>
        <w:rPr>
          <w:lang w:val="en-US" w:eastAsia="zh-CN"/>
        </w:rPr>
      </w:pPr>
    </w:p>
    <w:p w:rsidR="00771A8A" w:rsidRDefault="00771A8A" w:rsidP="00771A8A">
      <w:pPr>
        <w:rPr>
          <w:lang w:val="en-US" w:eastAsia="zh-CN"/>
        </w:rPr>
      </w:pPr>
      <w:r>
        <w:rPr>
          <w:lang w:val="en-US" w:eastAsia="zh-CN"/>
        </w:rPr>
        <w:lastRenderedPageBreak/>
        <w:t>In Rel-18, for a</w:t>
      </w:r>
      <w:r w:rsidRPr="008065AF">
        <w:rPr>
          <w:lang w:val="en-US" w:eastAsia="zh-CN"/>
        </w:rPr>
        <w:t>iding gNB determination of codebook switching and SRS periodicity</w:t>
      </w:r>
      <w:r>
        <w:rPr>
          <w:lang w:val="en-US" w:eastAsia="zh-CN"/>
        </w:rPr>
        <w:t xml:space="preserve">, the </w:t>
      </w:r>
      <w:r w:rsidRPr="008065AF">
        <w:rPr>
          <w:lang w:val="en-US" w:eastAsia="zh-CN"/>
        </w:rPr>
        <w:t>TRS-based TDCP reporting</w:t>
      </w:r>
      <w:r>
        <w:rPr>
          <w:lang w:val="en-US" w:eastAsia="zh-CN"/>
        </w:rPr>
        <w:t xml:space="preserve"> is support. UE can report q</w:t>
      </w:r>
      <w:r w:rsidRPr="0098226B">
        <w:rPr>
          <w:lang w:val="en-US" w:eastAsia="zh-CN"/>
        </w:rPr>
        <w:t>uantized wideband normalized amplitude/phase of the time-domain correlation profile</w:t>
      </w:r>
      <w:r>
        <w:rPr>
          <w:lang w:val="en-US" w:eastAsia="zh-CN"/>
        </w:rPr>
        <w:t xml:space="preserve"> for at most 4 delays.</w:t>
      </w:r>
      <w:r w:rsidRPr="0098226B">
        <w:t xml:space="preserve"> </w:t>
      </w:r>
      <w:r w:rsidRPr="0098226B">
        <w:rPr>
          <w:lang w:val="en-US" w:eastAsia="zh-CN"/>
        </w:rPr>
        <w:t xml:space="preserve">However, during the </w:t>
      </w:r>
      <w:r>
        <w:rPr>
          <w:lang w:val="en-US" w:eastAsia="zh-CN"/>
        </w:rPr>
        <w:t xml:space="preserve">demodulation </w:t>
      </w:r>
      <w:r w:rsidRPr="0098226B">
        <w:rPr>
          <w:lang w:val="en-US" w:eastAsia="zh-CN"/>
        </w:rPr>
        <w:t>test, the codebook type should not be switched since that the RRC parameters should be fixed, and also SRS-based precoding using channel reciprocity in TDD should not be used since that the precoding is up to TE implementation.</w:t>
      </w:r>
      <w:r>
        <w:rPr>
          <w:lang w:val="en-US" w:eastAsia="zh-CN"/>
        </w:rPr>
        <w:t xml:space="preserve"> Also considering that </w:t>
      </w:r>
      <w:r w:rsidRPr="0098226B">
        <w:rPr>
          <w:lang w:val="en-US" w:eastAsia="zh-CN"/>
        </w:rPr>
        <w:t>it is difficult to judge whether the TDCP reporting by the UE is accurate</w:t>
      </w:r>
      <w:r w:rsidRPr="00B34CEE">
        <w:t xml:space="preserve"> </w:t>
      </w:r>
      <w:r w:rsidRPr="00B34CEE">
        <w:rPr>
          <w:lang w:val="en-US" w:eastAsia="zh-CN"/>
        </w:rPr>
        <w:t>during the demodulation test,</w:t>
      </w:r>
      <w:r>
        <w:rPr>
          <w:lang w:val="en-US" w:eastAsia="zh-CN"/>
        </w:rPr>
        <w:t xml:space="preserve"> and also </w:t>
      </w:r>
      <w:r w:rsidRPr="00B34CEE">
        <w:rPr>
          <w:lang w:val="en-US" w:eastAsia="zh-CN"/>
        </w:rPr>
        <w:t xml:space="preserve">it is difficult to </w:t>
      </w:r>
      <w:r>
        <w:rPr>
          <w:lang w:val="en-US" w:eastAsia="zh-CN"/>
        </w:rPr>
        <w:t xml:space="preserve">measure the performance gain </w:t>
      </w:r>
      <w:r w:rsidRPr="00B34CEE">
        <w:rPr>
          <w:lang w:val="en-US" w:eastAsia="zh-CN"/>
        </w:rPr>
        <w:t>during the test</w:t>
      </w:r>
      <w:r>
        <w:rPr>
          <w:lang w:val="en-US" w:eastAsia="zh-CN"/>
        </w:rPr>
        <w:t xml:space="preserve">, we propose to not define any </w:t>
      </w:r>
      <w:r w:rsidR="00CE2753" w:rsidRPr="00CE2753">
        <w:rPr>
          <w:lang w:val="en-US" w:eastAsia="zh-CN"/>
        </w:rPr>
        <w:t>CSI</w:t>
      </w:r>
      <w:r>
        <w:rPr>
          <w:lang w:val="en-US" w:eastAsia="zh-CN"/>
        </w:rPr>
        <w:t xml:space="preserve"> requirements for TRS-based TDCP reporting</w:t>
      </w:r>
      <w:r w:rsidRPr="0098226B">
        <w:rPr>
          <w:lang w:val="en-US" w:eastAsia="zh-CN"/>
        </w:rPr>
        <w:t>.</w:t>
      </w:r>
    </w:p>
    <w:p w:rsidR="00771A8A" w:rsidRDefault="00771A8A" w:rsidP="00771A8A">
      <w:pPr>
        <w:pStyle w:val="Proposal"/>
      </w:pPr>
      <w:r>
        <w:t xml:space="preserve">Do not </w:t>
      </w:r>
      <w:r w:rsidRPr="00B34CEE">
        <w:t xml:space="preserve">define any </w:t>
      </w:r>
      <w:r w:rsidR="00CE2753">
        <w:t>CSI</w:t>
      </w:r>
      <w:r w:rsidRPr="00B34CEE">
        <w:t xml:space="preserve"> requirements for TRS-based TDCP reporting.</w:t>
      </w:r>
    </w:p>
    <w:p w:rsidR="00CE2753" w:rsidRDefault="00CE2753" w:rsidP="00CE2753">
      <w:pPr>
        <w:pStyle w:val="3"/>
        <w:rPr>
          <w:lang w:val="en-US" w:eastAsia="zh-CN"/>
        </w:rPr>
      </w:pPr>
      <w:r w:rsidRPr="00CE2753">
        <w:rPr>
          <w:lang w:val="en-US" w:eastAsia="zh-CN"/>
        </w:rPr>
        <w:t>codebook enhancement for CJT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35C24" w:rsidRPr="00B35C24" w:rsidTr="00B35C24">
        <w:tc>
          <w:tcPr>
            <w:tcW w:w="10456" w:type="dxa"/>
          </w:tcPr>
          <w:p w:rsidR="00B35C24" w:rsidRPr="00B35C24" w:rsidRDefault="00B35C24" w:rsidP="00B35C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i/>
                <w:lang w:eastAsia="zh-CN"/>
              </w:rPr>
            </w:pPr>
            <w:r w:rsidRPr="00B35C24">
              <w:rPr>
                <w:rFonts w:eastAsia="Times New Roman"/>
                <w:b/>
                <w:i/>
                <w:lang w:eastAsia="zh-CN"/>
              </w:rPr>
              <w:t>Agreement:</w:t>
            </w:r>
          </w:p>
          <w:p w:rsidR="00B35C24" w:rsidRPr="00B35C24" w:rsidRDefault="00B35C24" w:rsidP="00B35C24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lang w:eastAsia="zh-CN"/>
              </w:rPr>
            </w:pPr>
            <w:r w:rsidRPr="00B35C24">
              <w:rPr>
                <w:rFonts w:eastAsia="Times New Roman"/>
                <w:i/>
                <w:lang w:eastAsia="zh-CN"/>
              </w:rPr>
              <w:t>Study the feasibility of introducing PMI reporting requirements with ‘typeII-CJT-r18’ (FR1 FDD only).</w:t>
            </w:r>
          </w:p>
          <w:p w:rsidR="00B35C24" w:rsidRPr="00B35C24" w:rsidRDefault="00B35C24" w:rsidP="00B35C24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lang w:eastAsia="zh-CN"/>
              </w:rPr>
            </w:pPr>
            <w:r w:rsidRPr="00B35C24">
              <w:rPr>
                <w:rFonts w:eastAsia="Times New Roman"/>
                <w:i/>
                <w:lang w:eastAsia="zh-CN"/>
              </w:rPr>
              <w:t>Focus on 2TRP only</w:t>
            </w:r>
          </w:p>
          <w:p w:rsidR="00B35C24" w:rsidRPr="00B35C24" w:rsidRDefault="00B35C24" w:rsidP="00B35C24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lang w:eastAsia="zh-CN"/>
              </w:rPr>
            </w:pPr>
            <w:r w:rsidRPr="00B35C24">
              <w:rPr>
                <w:rFonts w:eastAsia="Times New Roman"/>
                <w:i/>
                <w:lang w:eastAsia="zh-CN"/>
              </w:rPr>
              <w:t>FFS for test metric</w:t>
            </w:r>
          </w:p>
          <w:p w:rsidR="00B35C24" w:rsidRPr="00B35C24" w:rsidRDefault="00B35C24" w:rsidP="00CE2753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lang w:eastAsia="zh-CN"/>
              </w:rPr>
            </w:pPr>
            <w:r w:rsidRPr="00B35C24">
              <w:rPr>
                <w:rFonts w:eastAsia="Times New Roman"/>
                <w:i/>
                <w:lang w:eastAsia="zh-CN"/>
              </w:rPr>
              <w:t>FFS for simulation assumptions</w:t>
            </w:r>
          </w:p>
        </w:tc>
      </w:tr>
    </w:tbl>
    <w:p w:rsidR="00CE2753" w:rsidRDefault="00CE2753" w:rsidP="00CE2753">
      <w:pPr>
        <w:rPr>
          <w:lang w:val="en-US" w:eastAsia="zh-CN"/>
        </w:rPr>
      </w:pPr>
    </w:p>
    <w:p w:rsidR="009D70BA" w:rsidRDefault="009D70BA" w:rsidP="009D70BA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Rel-18, </w:t>
      </w:r>
      <w:r w:rsidRPr="004A299C">
        <w:rPr>
          <w:lang w:val="en-US" w:eastAsia="zh-CN"/>
        </w:rPr>
        <w:t>Type-II codebook refinement for CJT mTRP</w:t>
      </w:r>
      <w:r>
        <w:rPr>
          <w:lang w:val="en-US" w:eastAsia="zh-CN"/>
        </w:rPr>
        <w:t xml:space="preserve">, that </w:t>
      </w:r>
      <w:r w:rsidRPr="00453E8B">
        <w:rPr>
          <w:lang w:val="en-US" w:eastAsia="zh-CN"/>
        </w:rPr>
        <w:t>has benefit for the throughput improvement</w:t>
      </w:r>
      <w:r>
        <w:rPr>
          <w:lang w:val="en-US" w:eastAsia="zh-CN"/>
        </w:rPr>
        <w:t xml:space="preserve"> in some scenario, is supported for at most 4 TRPs and at most 4 layers, including both Rel-16 eT</w:t>
      </w:r>
      <w:r w:rsidRPr="005F3B5B">
        <w:rPr>
          <w:lang w:val="en-US" w:eastAsia="zh-CN"/>
        </w:rPr>
        <w:t>ypeII codebook</w:t>
      </w:r>
      <w:r w:rsidRPr="005F3B5B">
        <w:t xml:space="preserve"> </w:t>
      </w:r>
      <w:r w:rsidRPr="005F3B5B">
        <w:rPr>
          <w:lang w:val="en-US" w:eastAsia="zh-CN"/>
        </w:rPr>
        <w:t>refinement</w:t>
      </w:r>
      <w:r>
        <w:rPr>
          <w:lang w:val="en-US" w:eastAsia="zh-CN"/>
        </w:rPr>
        <w:t xml:space="preserve"> and Rel-17 FeTypeII port selection codebook</w:t>
      </w:r>
      <w:r w:rsidRPr="005F3B5B">
        <w:t xml:space="preserve"> </w:t>
      </w:r>
      <w:r w:rsidRPr="005F3B5B">
        <w:rPr>
          <w:lang w:val="en-US" w:eastAsia="zh-CN"/>
        </w:rPr>
        <w:t>refinement</w:t>
      </w:r>
      <w:r>
        <w:rPr>
          <w:lang w:val="en-US" w:eastAsia="zh-CN"/>
        </w:rPr>
        <w:t xml:space="preserve">. Considering that the new codebook has impact on baseband processing and also </w:t>
      </w:r>
      <w:r w:rsidRPr="00453E8B">
        <w:rPr>
          <w:lang w:val="en-US" w:eastAsia="zh-CN"/>
        </w:rPr>
        <w:t>the PMI reporting requirements are defined for Rel-16 eTypeII codebook</w:t>
      </w:r>
      <w:r>
        <w:rPr>
          <w:lang w:val="en-US" w:eastAsia="zh-CN"/>
        </w:rPr>
        <w:t xml:space="preserve">, we propose to define PMI reporting </w:t>
      </w:r>
      <w:r w:rsidRPr="007701D9">
        <w:rPr>
          <w:lang w:val="en-US" w:eastAsia="zh-CN"/>
        </w:rPr>
        <w:t xml:space="preserve">requirements for </w:t>
      </w:r>
      <w:r>
        <w:rPr>
          <w:lang w:val="en-US" w:eastAsia="zh-CN"/>
        </w:rPr>
        <w:t xml:space="preserve">the new </w:t>
      </w:r>
      <w:r w:rsidRPr="00453E8B">
        <w:rPr>
          <w:lang w:val="en-US" w:eastAsia="zh-CN"/>
        </w:rPr>
        <w:t>Rel-16-based CJT type-II codebook</w:t>
      </w:r>
      <w:r w:rsidRPr="007701D9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9D70BA">
        <w:rPr>
          <w:lang w:val="en-US" w:eastAsia="zh-CN"/>
        </w:rPr>
        <w:t>For the test metric, we think it feasible to reuse the test metric from legacy PMI reporting requirements.</w:t>
      </w:r>
    </w:p>
    <w:p w:rsidR="009D70BA" w:rsidRPr="00453E8B" w:rsidRDefault="009D70BA" w:rsidP="009D70BA">
      <w:pPr>
        <w:pStyle w:val="Proposal"/>
      </w:pPr>
      <w:r>
        <w:rPr>
          <w:rFonts w:hint="eastAsia"/>
        </w:rPr>
        <w:t>D</w:t>
      </w:r>
      <w:r>
        <w:t xml:space="preserve">efine PMI reporting requirements for </w:t>
      </w:r>
      <w:r w:rsidRPr="00453E8B">
        <w:t>the new Rel-16-based CJT type-II codebook.</w:t>
      </w:r>
    </w:p>
    <w:p w:rsidR="00A64E28" w:rsidRPr="00A64E28" w:rsidRDefault="00A64E28" w:rsidP="00A64E28">
      <w:pPr>
        <w:keepNext/>
        <w:keepLines/>
        <w:numPr>
          <w:ilvl w:val="2"/>
          <w:numId w:val="1"/>
        </w:numPr>
        <w:spacing w:before="260" w:after="260" w:line="416" w:lineRule="auto"/>
        <w:outlineLvl w:val="2"/>
        <w:rPr>
          <w:rFonts w:ascii="Arial" w:hAnsi="Arial"/>
          <w:bCs/>
          <w:sz w:val="28"/>
          <w:szCs w:val="28"/>
          <w:lang w:val="en-US"/>
        </w:rPr>
      </w:pPr>
      <w:r w:rsidRPr="00A64E28">
        <w:rPr>
          <w:rFonts w:ascii="Arial" w:hAnsi="Arial"/>
          <w:bCs/>
          <w:sz w:val="28"/>
          <w:szCs w:val="28"/>
          <w:lang w:val="en-US"/>
        </w:rPr>
        <w:t>Increased number of orthogonal DMRS ports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64E28" w:rsidRPr="00A64E28" w:rsidTr="00E57CDC">
        <w:tc>
          <w:tcPr>
            <w:tcW w:w="10456" w:type="dxa"/>
          </w:tcPr>
          <w:p w:rsidR="00A64E28" w:rsidRPr="00A64E28" w:rsidRDefault="00A64E28" w:rsidP="00A64E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/>
                <w:i/>
                <w:lang w:eastAsia="zh-CN"/>
              </w:rPr>
            </w:pPr>
            <w:r w:rsidRPr="00A64E28">
              <w:rPr>
                <w:rFonts w:eastAsia="等线" w:hint="eastAsia"/>
                <w:b/>
                <w:i/>
                <w:lang w:eastAsia="zh-CN"/>
              </w:rPr>
              <w:t>A</w:t>
            </w:r>
            <w:r w:rsidRPr="00A64E28">
              <w:rPr>
                <w:rFonts w:eastAsia="等线"/>
                <w:b/>
                <w:i/>
                <w:lang w:eastAsia="zh-CN"/>
              </w:rPr>
              <w:t>greement:</w:t>
            </w:r>
          </w:p>
          <w:p w:rsidR="00A64E28" w:rsidRPr="00A64E28" w:rsidRDefault="00A64E28" w:rsidP="00A64E2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/>
                <w:lang w:val="en-US" w:eastAsia="zh-CN"/>
              </w:rPr>
            </w:pPr>
            <w:r w:rsidRPr="00A64E28">
              <w:rPr>
                <w:i/>
                <w:szCs w:val="24"/>
                <w:lang w:eastAsia="zh-CN"/>
              </w:rPr>
              <w:t>Introduce PDSCH demodulation requirements for Rel-18 enhanced DMRS for SU-MIMO scenario</w:t>
            </w:r>
            <w:r w:rsidRPr="00A64E28">
              <w:rPr>
                <w:rFonts w:hint="eastAsia"/>
                <w:i/>
                <w:szCs w:val="24"/>
                <w:lang w:eastAsia="zh-CN"/>
              </w:rPr>
              <w:t>.</w:t>
            </w:r>
            <w:r w:rsidRPr="00A64E28">
              <w:rPr>
                <w:i/>
                <w:szCs w:val="24"/>
                <w:lang w:eastAsia="zh-CN"/>
              </w:rPr>
              <w:t xml:space="preserve"> </w:t>
            </w:r>
            <w:r w:rsidRPr="00A64E28">
              <w:rPr>
                <w:rFonts w:eastAsia="Times New Roman"/>
                <w:i/>
                <w:lang w:eastAsia="zh-CN"/>
              </w:rPr>
              <w:t>Select</w:t>
            </w:r>
            <w:r w:rsidRPr="00A64E28">
              <w:rPr>
                <w:rFonts w:eastAsia="等线"/>
                <w:i/>
                <w:lang w:val="en-US" w:eastAsia="zh-CN"/>
              </w:rPr>
              <w:t xml:space="preserve"> limited case(s) from the legacy PDSCH cases to reuse the test configurations, but change the DRMS port configuration to configure the new defined DMRS ports for no more than 4 DMRS ports</w:t>
            </w:r>
          </w:p>
          <w:p w:rsidR="00A64E28" w:rsidRPr="00A64E28" w:rsidRDefault="00A64E28" w:rsidP="00A64E2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/>
                <w:lang w:val="en-US" w:eastAsia="zh-CN"/>
              </w:rPr>
            </w:pPr>
            <w:r w:rsidRPr="00A64E28">
              <w:rPr>
                <w:rFonts w:eastAsia="Times New Roman"/>
                <w:i/>
                <w:lang w:eastAsia="zh-CN"/>
              </w:rPr>
              <w:t>FFS for applicability</w:t>
            </w:r>
            <w:r w:rsidRPr="00A64E28">
              <w:rPr>
                <w:rFonts w:eastAsia="等线"/>
                <w:i/>
                <w:lang w:val="en-US" w:eastAsia="zh-CN"/>
              </w:rPr>
              <w:t xml:space="preserve"> rule to be defined that UE can skip the legacy case if UE has passed the case with the same configuration but using the new DMRS ports </w:t>
            </w:r>
          </w:p>
          <w:p w:rsidR="00A64E28" w:rsidRPr="00A64E28" w:rsidRDefault="00A64E28" w:rsidP="00A64E2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/>
                <w:lang w:val="en-US" w:eastAsia="zh-CN"/>
              </w:rPr>
            </w:pPr>
            <w:r w:rsidRPr="00A64E28">
              <w:rPr>
                <w:rFonts w:eastAsia="Times New Roman"/>
                <w:i/>
                <w:lang w:eastAsia="zh-CN"/>
              </w:rPr>
              <w:t xml:space="preserve">Companies are encouraged to propose the test case(s) to be reused. </w:t>
            </w:r>
          </w:p>
        </w:tc>
      </w:tr>
    </w:tbl>
    <w:p w:rsidR="00A64E28" w:rsidRPr="00A64E28" w:rsidRDefault="00A64E28" w:rsidP="00A64E28">
      <w:pPr>
        <w:rPr>
          <w:lang w:val="en-US"/>
        </w:rPr>
      </w:pPr>
    </w:p>
    <w:p w:rsidR="00A64E28" w:rsidRPr="00A64E28" w:rsidRDefault="00A64E28" w:rsidP="00A64E28">
      <w:pPr>
        <w:rPr>
          <w:lang w:val="en-US" w:eastAsia="zh-CN"/>
        </w:rPr>
      </w:pPr>
      <w:r w:rsidRPr="00A64E28">
        <w:rPr>
          <w:rFonts w:hint="eastAsia"/>
          <w:lang w:val="en-US" w:eastAsia="zh-CN"/>
        </w:rPr>
        <w:t>F</w:t>
      </w:r>
      <w:r w:rsidRPr="00A64E28">
        <w:rPr>
          <w:lang w:val="en-US" w:eastAsia="zh-CN"/>
        </w:rPr>
        <w:t xml:space="preserve">or the case selection, to ensure the total number of cases not changed, </w:t>
      </w:r>
      <w:r>
        <w:rPr>
          <w:lang w:val="en-US" w:eastAsia="zh-CN"/>
        </w:rPr>
        <w:t xml:space="preserve">only mandatory cases </w:t>
      </w:r>
      <w:r w:rsidRPr="00A64E28">
        <w:rPr>
          <w:lang w:val="en-US" w:eastAsia="zh-CN"/>
        </w:rPr>
        <w:t xml:space="preserve">should be </w:t>
      </w:r>
      <w:r>
        <w:rPr>
          <w:lang w:val="en-US" w:eastAsia="zh-CN"/>
        </w:rPr>
        <w:t>considered</w:t>
      </w:r>
      <w:r w:rsidRPr="00A64E28">
        <w:rPr>
          <w:lang w:val="en-US" w:eastAsia="zh-CN"/>
        </w:rPr>
        <w:t xml:space="preserve">. </w:t>
      </w:r>
      <w:r>
        <w:rPr>
          <w:lang w:val="en-US" w:eastAsia="zh-CN"/>
        </w:rPr>
        <w:t>Based on our preference</w:t>
      </w:r>
      <w:r w:rsidRPr="00A64E28">
        <w:rPr>
          <w:lang w:val="en-US" w:eastAsia="zh-CN"/>
        </w:rPr>
        <w:t>, the cases can be further down-selected as Table 2.1.</w:t>
      </w:r>
      <w:r w:rsidR="00CE2753">
        <w:rPr>
          <w:lang w:val="en-US" w:eastAsia="zh-CN"/>
        </w:rPr>
        <w:t>4</w:t>
      </w:r>
      <w:r w:rsidRPr="00A64E28">
        <w:rPr>
          <w:lang w:val="en-US" w:eastAsia="zh-CN"/>
        </w:rPr>
        <w:t>-1.</w:t>
      </w:r>
      <w:r>
        <w:rPr>
          <w:lang w:val="en-US" w:eastAsia="zh-CN"/>
        </w:rPr>
        <w:t xml:space="preserve"> There are no rank 3/4 cases since 4Rx is not mandatory in all bands, also 2Rx is enough to verify whether UE support the new OCC pattern.</w:t>
      </w:r>
    </w:p>
    <w:p w:rsidR="00A64E28" w:rsidRDefault="00A64E28" w:rsidP="00A64E28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A64E28">
        <w:rPr>
          <w:rFonts w:ascii="Arial" w:hAnsi="Arial" w:cs="Arial" w:hint="eastAsia"/>
          <w:b/>
          <w:lang w:val="en-US" w:eastAsia="zh-CN"/>
        </w:rPr>
        <w:lastRenderedPageBreak/>
        <w:t>T</w:t>
      </w:r>
      <w:r w:rsidRPr="00A64E28">
        <w:rPr>
          <w:rFonts w:ascii="Arial" w:hAnsi="Arial" w:cs="Arial"/>
          <w:b/>
          <w:lang w:val="en-US" w:eastAsia="zh-CN"/>
        </w:rPr>
        <w:t>able 2.1.</w:t>
      </w:r>
      <w:r w:rsidR="00CE2753">
        <w:rPr>
          <w:rFonts w:ascii="Arial" w:hAnsi="Arial" w:cs="Arial"/>
          <w:b/>
          <w:lang w:val="en-US" w:eastAsia="zh-CN"/>
        </w:rPr>
        <w:t>4</w:t>
      </w:r>
      <w:r w:rsidRPr="00A64E28">
        <w:rPr>
          <w:rFonts w:ascii="Arial" w:hAnsi="Arial" w:cs="Arial"/>
          <w:b/>
          <w:lang w:val="en-US" w:eastAsia="zh-CN"/>
        </w:rPr>
        <w:t>-1 Down-selected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45"/>
        <w:gridCol w:w="1792"/>
        <w:gridCol w:w="1603"/>
        <w:gridCol w:w="988"/>
        <w:gridCol w:w="657"/>
        <w:gridCol w:w="1467"/>
        <w:gridCol w:w="1998"/>
        <w:gridCol w:w="1206"/>
      </w:tblGrid>
      <w:tr w:rsidR="00A64E28" w:rsidRPr="00A64E28" w:rsidTr="00A64E28">
        <w:trPr>
          <w:trHeight w:val="375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4E2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4E28">
              <w:rPr>
                <w:rFonts w:ascii="Arial" w:hAnsi="Arial"/>
                <w:b/>
                <w:sz w:val="18"/>
              </w:rPr>
              <w:t>Bandwidth</w:t>
            </w:r>
            <w:r w:rsidRPr="00A64E28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A64E28">
              <w:rPr>
                <w:rFonts w:ascii="Arial" w:hAnsi="Arial"/>
                <w:b/>
                <w:sz w:val="18"/>
              </w:rPr>
              <w:t>(MHz) / Subcarrier spacing</w:t>
            </w:r>
            <w:r w:rsidRPr="00A64E28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A64E28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64E28">
              <w:rPr>
                <w:rFonts w:ascii="Arial" w:hAnsi="Arial"/>
                <w:b/>
                <w:sz w:val="18"/>
              </w:rPr>
              <w:t>Modulation format</w:t>
            </w:r>
            <w:r w:rsidRPr="00A64E28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A64E28"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Duplex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4E28">
              <w:rPr>
                <w:rFonts w:ascii="Arial" w:hAnsi="Arial"/>
                <w:b/>
                <w:sz w:val="18"/>
              </w:rPr>
              <w:t>Rank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64E28">
              <w:rPr>
                <w:rFonts w:ascii="Arial" w:hAnsi="Arial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4E2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4E2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A64E28" w:rsidRPr="00A64E28" w:rsidTr="00A64E28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A64E28" w:rsidRPr="00A64E28" w:rsidRDefault="001B7179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4E2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4E28">
              <w:rPr>
                <w:rFonts w:ascii="Arial" w:hAnsi="Arial"/>
                <w:sz w:val="18"/>
              </w:rPr>
              <w:t>QPSK, 0.30</w:t>
            </w:r>
          </w:p>
        </w:tc>
        <w:tc>
          <w:tcPr>
            <w:tcW w:w="0" w:type="auto"/>
            <w:shd w:val="clear" w:color="auto" w:fill="FFFFFF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DD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4E2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BC4AFE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C4AFE">
              <w:rPr>
                <w:rFonts w:ascii="Arial" w:hAnsi="Arial"/>
                <w:sz w:val="18"/>
                <w:lang w:eastAsia="zh-CN"/>
              </w:rPr>
              <w:t>TDLB100-400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4E28">
              <w:rPr>
                <w:rFonts w:ascii="Arial" w:hAnsi="Arial"/>
                <w:sz w:val="18"/>
              </w:rPr>
              <w:t>2x2,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64E28">
              <w:rPr>
                <w:rFonts w:ascii="Arial" w:hAnsi="Arial"/>
                <w:sz w:val="18"/>
              </w:rPr>
              <w:t>70</w:t>
            </w:r>
          </w:p>
        </w:tc>
      </w:tr>
      <w:tr w:rsidR="00A64E28" w:rsidRPr="00A64E28" w:rsidTr="00A64E28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A64E28" w:rsidRPr="00A64E28" w:rsidRDefault="001B7179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C25669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C25669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64QAM,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0" w:type="auto"/>
            <w:shd w:val="clear" w:color="auto" w:fill="FFFFFF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DD</w:t>
            </w:r>
            <w:r>
              <w:t xml:space="preserve"> </w:t>
            </w:r>
            <w:r w:rsidRPr="00A64E28">
              <w:rPr>
                <w:rFonts w:ascii="Arial" w:hAnsi="Arial"/>
                <w:sz w:val="18"/>
                <w:lang w:eastAsia="zh-CN"/>
              </w:rPr>
              <w:t>FR1.30-1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C25669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4E2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64E28">
              <w:rPr>
                <w:rFonts w:ascii="Arial" w:hAnsi="Arial"/>
                <w:sz w:val="18"/>
                <w:lang w:eastAsia="zh-CN"/>
              </w:rPr>
              <w:t>TDLA30-10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C25669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2x2,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C25669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70</w:t>
            </w:r>
          </w:p>
        </w:tc>
      </w:tr>
    </w:tbl>
    <w:p w:rsidR="00A64E28" w:rsidRDefault="00A64E28" w:rsidP="00A64E28"/>
    <w:p w:rsidR="00A64E28" w:rsidRPr="00A64E28" w:rsidRDefault="001B7179" w:rsidP="001B7179">
      <w:pPr>
        <w:pStyle w:val="Proposal"/>
      </w:pPr>
      <w:r>
        <w:t>O</w:t>
      </w:r>
      <w:r w:rsidRPr="001B7179">
        <w:t>nly mandatory cases should be considered.</w:t>
      </w:r>
      <w:r w:rsidR="00A64E28" w:rsidRPr="00A64E28">
        <w:t xml:space="preserve"> </w:t>
      </w:r>
      <w:r>
        <w:t>T</w:t>
      </w:r>
      <w:r w:rsidRPr="001B7179">
        <w:t>he cases can be further down-selected as Table 2.1.</w:t>
      </w:r>
      <w:r w:rsidR="00CE2753">
        <w:t>4</w:t>
      </w:r>
      <w:r w:rsidRPr="001B7179">
        <w:t>-1.</w:t>
      </w:r>
    </w:p>
    <w:p w:rsidR="00A64E28" w:rsidRPr="00A64E28" w:rsidRDefault="00A64E28" w:rsidP="00A64E28">
      <w:pPr>
        <w:rPr>
          <w:lang w:val="en-US" w:eastAsia="zh-CN"/>
        </w:rPr>
      </w:pPr>
      <w:r w:rsidRPr="00A64E28">
        <w:rPr>
          <w:rFonts w:hint="eastAsia"/>
          <w:lang w:val="en-US" w:eastAsia="zh-CN"/>
        </w:rPr>
        <w:t>H</w:t>
      </w:r>
      <w:r w:rsidRPr="00A64E28">
        <w:rPr>
          <w:lang w:val="en-US" w:eastAsia="zh-CN"/>
        </w:rPr>
        <w:t>ere we provide the simulation results using legacy DMRS ports and the new DMRS ports as Figure 2.1.</w:t>
      </w:r>
      <w:r w:rsidR="00CE2753">
        <w:rPr>
          <w:lang w:val="en-US" w:eastAsia="zh-CN"/>
        </w:rPr>
        <w:t>4</w:t>
      </w:r>
      <w:r w:rsidRPr="00A64E28">
        <w:rPr>
          <w:lang w:val="en-US" w:eastAsia="zh-CN"/>
        </w:rPr>
        <w:t>-1.</w:t>
      </w:r>
    </w:p>
    <w:p w:rsidR="00A64E28" w:rsidRPr="00620753" w:rsidRDefault="0066176A" w:rsidP="00A64E28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sz w:val="18"/>
          <w:lang w:val="en-US" w:eastAsia="zh-CN"/>
        </w:rPr>
      </w:pPr>
      <w:r>
        <w:rPr>
          <w:noProof/>
        </w:rPr>
        <w:drawing>
          <wp:inline distT="0" distB="0" distL="0" distR="0" wp14:anchorId="4E176E07" wp14:editId="2C18A219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E28" w:rsidRPr="00A64E28" w:rsidRDefault="00A64E28" w:rsidP="00A64E28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A64E28">
        <w:rPr>
          <w:rFonts w:ascii="Arial" w:hAnsi="Arial" w:cs="Arial" w:hint="eastAsia"/>
          <w:b/>
          <w:lang w:val="en-US" w:eastAsia="zh-CN"/>
        </w:rPr>
        <w:t>F</w:t>
      </w:r>
      <w:r w:rsidRPr="00A64E28">
        <w:rPr>
          <w:rFonts w:ascii="Arial" w:hAnsi="Arial" w:cs="Arial"/>
          <w:b/>
          <w:lang w:val="en-US" w:eastAsia="zh-CN"/>
        </w:rPr>
        <w:t>igure 2.1.</w:t>
      </w:r>
      <w:r w:rsidR="00CE2753">
        <w:rPr>
          <w:rFonts w:ascii="Arial" w:hAnsi="Arial" w:cs="Arial"/>
          <w:b/>
          <w:lang w:val="en-US" w:eastAsia="zh-CN"/>
        </w:rPr>
        <w:t>4</w:t>
      </w:r>
      <w:r w:rsidRPr="00A64E28">
        <w:rPr>
          <w:rFonts w:ascii="Arial" w:hAnsi="Arial" w:cs="Arial"/>
          <w:b/>
          <w:lang w:val="en-US" w:eastAsia="zh-CN"/>
        </w:rPr>
        <w:t>-1 Simulation results using legacy DMRS ports and the new DMRS ports</w:t>
      </w:r>
    </w:p>
    <w:p w:rsidR="00A64E28" w:rsidRPr="00A64E28" w:rsidRDefault="00A64E28" w:rsidP="00A64E28">
      <w:pPr>
        <w:rPr>
          <w:lang w:val="en-US" w:eastAsia="zh-CN"/>
        </w:rPr>
      </w:pPr>
      <w:r w:rsidRPr="00A64E28">
        <w:rPr>
          <w:lang w:val="en-US" w:eastAsia="zh-CN"/>
        </w:rPr>
        <w:t>We can see that there is negligible performance difference between the cases with different DMRS ports.</w:t>
      </w:r>
      <w:r w:rsidR="0085108F">
        <w:rPr>
          <w:lang w:val="en-US" w:eastAsia="zh-CN"/>
        </w:rPr>
        <w:t xml:space="preserve"> Therefore, we propose to define </w:t>
      </w:r>
      <w:r w:rsidR="0085108F" w:rsidRPr="0085108F">
        <w:rPr>
          <w:lang w:val="en-US" w:eastAsia="zh-CN"/>
        </w:rPr>
        <w:t>applicability rule that UE can skip the legacy case if UE has passed the case with the same configuration but using the new DMRS ports</w:t>
      </w:r>
      <w:r w:rsidR="0085108F">
        <w:rPr>
          <w:lang w:val="en-US" w:eastAsia="zh-CN"/>
        </w:rPr>
        <w:t>.</w:t>
      </w:r>
    </w:p>
    <w:p w:rsidR="00A64E28" w:rsidRDefault="00A64E28" w:rsidP="0085108F">
      <w:pPr>
        <w:pStyle w:val="Observation"/>
      </w:pPr>
      <w:r w:rsidRPr="00A64E28">
        <w:rPr>
          <w:rFonts w:hint="eastAsia"/>
        </w:rPr>
        <w:t>T</w:t>
      </w:r>
      <w:r w:rsidRPr="00A64E28">
        <w:t>here is negligible performance difference between the cases with different DMRS ports.</w:t>
      </w:r>
    </w:p>
    <w:p w:rsidR="0085108F" w:rsidRPr="0085108F" w:rsidRDefault="0085108F" w:rsidP="0085108F">
      <w:pPr>
        <w:pStyle w:val="Proposal"/>
      </w:pPr>
      <w:r>
        <w:t>D</w:t>
      </w:r>
      <w:r w:rsidRPr="0085108F">
        <w:t>efine applicability rule that UE can skip the legacy case if UE has passed the case with the same configuration but using the new DMRS ports.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B857AD" w:rsidRPr="00B857AD">
        <w:rPr>
          <w:lang w:val="en-US" w:eastAsia="zh-CN"/>
        </w:rPr>
        <w:t>UE demodulation requirements for MIMO evolution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FA27F9" w:rsidRPr="009D70BA" w:rsidRDefault="00FA27F9" w:rsidP="00FA27F9">
      <w:pPr>
        <w:pStyle w:val="Proposal"/>
        <w:numPr>
          <w:ilvl w:val="0"/>
          <w:numId w:val="25"/>
        </w:numPr>
      </w:pPr>
      <w:r w:rsidRPr="009D70BA">
        <w:t>Define PMI reporting requirements for the new Rel-16-based doppler measurement type-II codebook.</w:t>
      </w:r>
    </w:p>
    <w:p w:rsidR="00FA27F9" w:rsidRDefault="00FA27F9" w:rsidP="00FA27F9">
      <w:pPr>
        <w:pStyle w:val="Proposal"/>
        <w:numPr>
          <w:ilvl w:val="0"/>
          <w:numId w:val="25"/>
        </w:numPr>
      </w:pPr>
      <w:r>
        <w:t xml:space="preserve">Do not </w:t>
      </w:r>
      <w:r w:rsidRPr="00B34CEE">
        <w:t xml:space="preserve">define any </w:t>
      </w:r>
      <w:r>
        <w:t>CSI</w:t>
      </w:r>
      <w:r w:rsidRPr="00B34CEE">
        <w:t xml:space="preserve"> requirements for TRS-based TDCP reporting.</w:t>
      </w:r>
    </w:p>
    <w:p w:rsidR="00FA27F9" w:rsidRPr="00453E8B" w:rsidRDefault="00FA27F9" w:rsidP="00FA27F9">
      <w:pPr>
        <w:pStyle w:val="Proposal"/>
        <w:numPr>
          <w:ilvl w:val="0"/>
          <w:numId w:val="25"/>
        </w:numPr>
      </w:pPr>
      <w:r>
        <w:rPr>
          <w:rFonts w:hint="eastAsia"/>
        </w:rPr>
        <w:t>D</w:t>
      </w:r>
      <w:r>
        <w:t xml:space="preserve">efine PMI reporting requirements for </w:t>
      </w:r>
      <w:r w:rsidRPr="00453E8B">
        <w:t>the new Rel-16-based CJT type-II codebook.</w:t>
      </w:r>
    </w:p>
    <w:p w:rsidR="00FA27F9" w:rsidRPr="00A64E28" w:rsidRDefault="00FA27F9" w:rsidP="00FA27F9">
      <w:pPr>
        <w:pStyle w:val="Proposal"/>
        <w:numPr>
          <w:ilvl w:val="0"/>
          <w:numId w:val="25"/>
        </w:numPr>
      </w:pPr>
      <w:r>
        <w:t>O</w:t>
      </w:r>
      <w:r w:rsidRPr="001B7179">
        <w:t>nly mandatory cases should be considered.</w:t>
      </w:r>
      <w:r w:rsidRPr="00A64E28">
        <w:t xml:space="preserve"> </w:t>
      </w:r>
      <w:r>
        <w:t>T</w:t>
      </w:r>
      <w:r w:rsidRPr="001B7179">
        <w:t>he cases can be further down-selected as Table 2.1.</w:t>
      </w:r>
      <w:r>
        <w:t>4</w:t>
      </w:r>
      <w:r w:rsidRPr="001B7179">
        <w:t>-1.</w:t>
      </w:r>
    </w:p>
    <w:p w:rsidR="00B35C24" w:rsidRPr="00B35C24" w:rsidRDefault="00B35C24" w:rsidP="00B35C24">
      <w:pPr>
        <w:pStyle w:val="Observation"/>
        <w:numPr>
          <w:ilvl w:val="0"/>
          <w:numId w:val="24"/>
        </w:numPr>
        <w:rPr>
          <w:lang w:val="en-US"/>
        </w:rPr>
      </w:pPr>
      <w:r w:rsidRPr="00A64E28">
        <w:rPr>
          <w:rFonts w:hint="eastAsia"/>
        </w:rPr>
        <w:t>T</w:t>
      </w:r>
      <w:r w:rsidRPr="00A64E28">
        <w:t>here is negligible performance difference between the cases with different DMRS ports.</w:t>
      </w:r>
    </w:p>
    <w:p w:rsidR="00B35C24" w:rsidRPr="0085108F" w:rsidRDefault="00B35C24" w:rsidP="00B35C24">
      <w:pPr>
        <w:pStyle w:val="Proposal"/>
      </w:pPr>
      <w:r>
        <w:t>D</w:t>
      </w:r>
      <w:r w:rsidRPr="0085108F">
        <w:t>efine applicability rule that UE can skip the legacy case if UE has passed the case with the same configuration but using the new DMRS ports.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3" w:name="_Ref92469097"/>
      <w:r>
        <w:rPr>
          <w:lang w:val="en-US" w:eastAsia="zh-CN"/>
        </w:rPr>
        <w:t>R</w:t>
      </w:r>
      <w:bookmarkEnd w:id="3"/>
      <w:r w:rsidR="00A64E28">
        <w:rPr>
          <w:lang w:val="en-US" w:eastAsia="zh-CN"/>
        </w:rPr>
        <w:t>4</w:t>
      </w:r>
      <w:r w:rsidR="00244F93">
        <w:rPr>
          <w:lang w:val="en-US" w:eastAsia="zh-CN"/>
        </w:rPr>
        <w:t>-</w:t>
      </w:r>
      <w:r w:rsidR="00A64E28" w:rsidRPr="00A64E28">
        <w:rPr>
          <w:lang w:val="en-US" w:eastAsia="zh-CN"/>
        </w:rPr>
        <w:t>2316920</w:t>
      </w:r>
      <w:r w:rsidR="00412532" w:rsidRPr="00412532">
        <w:rPr>
          <w:lang w:val="en-US" w:eastAsia="zh-CN"/>
        </w:rPr>
        <w:t xml:space="preserve">, </w:t>
      </w:r>
      <w:r w:rsidR="00A64E28" w:rsidRPr="00A64E28">
        <w:rPr>
          <w:lang w:val="en-US" w:eastAsia="zh-CN"/>
        </w:rPr>
        <w:t>WF on NR_MIMO_evo_DL_UL_demod</w:t>
      </w:r>
      <w:r w:rsidR="00412532" w:rsidRPr="00412532">
        <w:rPr>
          <w:lang w:val="en-US" w:eastAsia="zh-CN"/>
        </w:rPr>
        <w:t xml:space="preserve">, </w:t>
      </w:r>
      <w:r w:rsidR="00A64E28" w:rsidRPr="00A64E28">
        <w:rPr>
          <w:lang w:val="en-US" w:eastAsia="zh-CN"/>
        </w:rPr>
        <w:t>RAN4#108b</w:t>
      </w:r>
      <w:r w:rsidR="00412532" w:rsidRPr="00412532">
        <w:rPr>
          <w:lang w:val="en-US" w:eastAsia="zh-CN"/>
        </w:rPr>
        <w:t xml:space="preserve">, </w:t>
      </w:r>
      <w:r w:rsidR="00CA1F8F" w:rsidRPr="00CA1F8F">
        <w:rPr>
          <w:lang w:val="en-US" w:eastAsia="zh-CN"/>
        </w:rPr>
        <w:t>Samsung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22F" w:rsidRDefault="0013322F">
      <w:pPr>
        <w:spacing w:after="0"/>
      </w:pPr>
      <w:r>
        <w:separator/>
      </w:r>
    </w:p>
  </w:endnote>
  <w:endnote w:type="continuationSeparator" w:id="0">
    <w:p w:rsidR="0013322F" w:rsidRDefault="001332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22F" w:rsidRDefault="0013322F">
      <w:pPr>
        <w:spacing w:after="0"/>
      </w:pPr>
      <w:r>
        <w:separator/>
      </w:r>
    </w:p>
  </w:footnote>
  <w:footnote w:type="continuationSeparator" w:id="0">
    <w:p w:rsidR="0013322F" w:rsidRDefault="001332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宋体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9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5"/>
  </w:num>
  <w:num w:numId="5">
    <w:abstractNumId w:val="12"/>
  </w:num>
  <w:num w:numId="6">
    <w:abstractNumId w:val="1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7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3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C79"/>
    <w:rsid w:val="0001581F"/>
    <w:rsid w:val="00016921"/>
    <w:rsid w:val="00016BE1"/>
    <w:rsid w:val="0002379D"/>
    <w:rsid w:val="00023E26"/>
    <w:rsid w:val="0003030E"/>
    <w:rsid w:val="0003042D"/>
    <w:rsid w:val="000306CB"/>
    <w:rsid w:val="00034394"/>
    <w:rsid w:val="0004362D"/>
    <w:rsid w:val="00043C45"/>
    <w:rsid w:val="0005442F"/>
    <w:rsid w:val="0007130B"/>
    <w:rsid w:val="00084253"/>
    <w:rsid w:val="000845DE"/>
    <w:rsid w:val="00085BEB"/>
    <w:rsid w:val="00085E0D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145F"/>
    <w:rsid w:val="000B3D46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75B5"/>
    <w:rsid w:val="00121693"/>
    <w:rsid w:val="00125652"/>
    <w:rsid w:val="001272DC"/>
    <w:rsid w:val="0013322F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A36F4"/>
    <w:rsid w:val="001A6754"/>
    <w:rsid w:val="001B1E9A"/>
    <w:rsid w:val="001B38C0"/>
    <w:rsid w:val="001B4B37"/>
    <w:rsid w:val="001B7179"/>
    <w:rsid w:val="001B7488"/>
    <w:rsid w:val="001C0BDB"/>
    <w:rsid w:val="001C3749"/>
    <w:rsid w:val="001C4440"/>
    <w:rsid w:val="001C6B0F"/>
    <w:rsid w:val="001D0B20"/>
    <w:rsid w:val="001D54C7"/>
    <w:rsid w:val="001E0294"/>
    <w:rsid w:val="001E3115"/>
    <w:rsid w:val="001F0B11"/>
    <w:rsid w:val="00200632"/>
    <w:rsid w:val="00204E15"/>
    <w:rsid w:val="0020559E"/>
    <w:rsid w:val="00206965"/>
    <w:rsid w:val="00213C72"/>
    <w:rsid w:val="00214368"/>
    <w:rsid w:val="00214DBD"/>
    <w:rsid w:val="00215777"/>
    <w:rsid w:val="00217A70"/>
    <w:rsid w:val="00221897"/>
    <w:rsid w:val="00222181"/>
    <w:rsid w:val="00222491"/>
    <w:rsid w:val="002232CE"/>
    <w:rsid w:val="00223345"/>
    <w:rsid w:val="002267BB"/>
    <w:rsid w:val="0023074B"/>
    <w:rsid w:val="00231A17"/>
    <w:rsid w:val="00240A1A"/>
    <w:rsid w:val="0024101C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82377"/>
    <w:rsid w:val="002928C5"/>
    <w:rsid w:val="00294D00"/>
    <w:rsid w:val="002A00F4"/>
    <w:rsid w:val="002A1B72"/>
    <w:rsid w:val="002A5BFE"/>
    <w:rsid w:val="002B666A"/>
    <w:rsid w:val="002B79B7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1606D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1AB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87EDC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9CD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3E8B"/>
    <w:rsid w:val="004573C7"/>
    <w:rsid w:val="004575B7"/>
    <w:rsid w:val="00464F9E"/>
    <w:rsid w:val="00474519"/>
    <w:rsid w:val="004750C1"/>
    <w:rsid w:val="00475203"/>
    <w:rsid w:val="00480DA9"/>
    <w:rsid w:val="00481B5B"/>
    <w:rsid w:val="004842BC"/>
    <w:rsid w:val="004A299C"/>
    <w:rsid w:val="004B0938"/>
    <w:rsid w:val="004B25B2"/>
    <w:rsid w:val="004B3CAA"/>
    <w:rsid w:val="004B760A"/>
    <w:rsid w:val="004C0849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4A31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0EB5"/>
    <w:rsid w:val="005930B2"/>
    <w:rsid w:val="0059578D"/>
    <w:rsid w:val="005B1A8C"/>
    <w:rsid w:val="005B2E62"/>
    <w:rsid w:val="005B337B"/>
    <w:rsid w:val="005B3B3E"/>
    <w:rsid w:val="005B3DB4"/>
    <w:rsid w:val="005B6789"/>
    <w:rsid w:val="005B7138"/>
    <w:rsid w:val="005C3579"/>
    <w:rsid w:val="005C42D4"/>
    <w:rsid w:val="005D0C23"/>
    <w:rsid w:val="005D7B80"/>
    <w:rsid w:val="005D7F6A"/>
    <w:rsid w:val="005E0EAC"/>
    <w:rsid w:val="005E1A73"/>
    <w:rsid w:val="005E2E8D"/>
    <w:rsid w:val="005E3A6B"/>
    <w:rsid w:val="005E6131"/>
    <w:rsid w:val="005F2480"/>
    <w:rsid w:val="005F3786"/>
    <w:rsid w:val="005F3B5B"/>
    <w:rsid w:val="005F6B12"/>
    <w:rsid w:val="005F6B8B"/>
    <w:rsid w:val="005F72F9"/>
    <w:rsid w:val="00611FE1"/>
    <w:rsid w:val="00616955"/>
    <w:rsid w:val="00620753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176A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9719E"/>
    <w:rsid w:val="006A295B"/>
    <w:rsid w:val="006A6EA3"/>
    <w:rsid w:val="006B12C7"/>
    <w:rsid w:val="006B3B45"/>
    <w:rsid w:val="006B64A3"/>
    <w:rsid w:val="006B7BB4"/>
    <w:rsid w:val="006C7B9D"/>
    <w:rsid w:val="006E02C8"/>
    <w:rsid w:val="006E2A89"/>
    <w:rsid w:val="006E7A09"/>
    <w:rsid w:val="006F3F95"/>
    <w:rsid w:val="006F5C82"/>
    <w:rsid w:val="006F663F"/>
    <w:rsid w:val="006F683B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01D9"/>
    <w:rsid w:val="00771A8A"/>
    <w:rsid w:val="0077535B"/>
    <w:rsid w:val="00775C27"/>
    <w:rsid w:val="007808BE"/>
    <w:rsid w:val="00786759"/>
    <w:rsid w:val="00791361"/>
    <w:rsid w:val="007970AF"/>
    <w:rsid w:val="00797441"/>
    <w:rsid w:val="007A1332"/>
    <w:rsid w:val="007B03FE"/>
    <w:rsid w:val="007B245D"/>
    <w:rsid w:val="007B3E8C"/>
    <w:rsid w:val="007B61F6"/>
    <w:rsid w:val="007B6B00"/>
    <w:rsid w:val="007C3618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065AF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108F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6A3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1593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60EB3"/>
    <w:rsid w:val="00960FE6"/>
    <w:rsid w:val="009614E1"/>
    <w:rsid w:val="00977865"/>
    <w:rsid w:val="00981E4A"/>
    <w:rsid w:val="0098226B"/>
    <w:rsid w:val="00983F24"/>
    <w:rsid w:val="009841EA"/>
    <w:rsid w:val="00984EDF"/>
    <w:rsid w:val="00986589"/>
    <w:rsid w:val="009904F4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C4A08"/>
    <w:rsid w:val="009D568F"/>
    <w:rsid w:val="009D70BA"/>
    <w:rsid w:val="009D78C8"/>
    <w:rsid w:val="009E16B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5EA4"/>
    <w:rsid w:val="00A4708B"/>
    <w:rsid w:val="00A569EF"/>
    <w:rsid w:val="00A62D36"/>
    <w:rsid w:val="00A64ABC"/>
    <w:rsid w:val="00A64E28"/>
    <w:rsid w:val="00A6690E"/>
    <w:rsid w:val="00A70F98"/>
    <w:rsid w:val="00A73ABD"/>
    <w:rsid w:val="00A75D35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6D57"/>
    <w:rsid w:val="00AB72E3"/>
    <w:rsid w:val="00AC1747"/>
    <w:rsid w:val="00AC461A"/>
    <w:rsid w:val="00AC5345"/>
    <w:rsid w:val="00AC5CD4"/>
    <w:rsid w:val="00AC6626"/>
    <w:rsid w:val="00AD64C4"/>
    <w:rsid w:val="00AD74DF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2B87"/>
    <w:rsid w:val="00B239CC"/>
    <w:rsid w:val="00B26119"/>
    <w:rsid w:val="00B26E8F"/>
    <w:rsid w:val="00B30C97"/>
    <w:rsid w:val="00B34CEE"/>
    <w:rsid w:val="00B35C24"/>
    <w:rsid w:val="00B3776A"/>
    <w:rsid w:val="00B45683"/>
    <w:rsid w:val="00B505EB"/>
    <w:rsid w:val="00B50C81"/>
    <w:rsid w:val="00B5207A"/>
    <w:rsid w:val="00B522D7"/>
    <w:rsid w:val="00B53662"/>
    <w:rsid w:val="00B53A1C"/>
    <w:rsid w:val="00B57083"/>
    <w:rsid w:val="00B57BBD"/>
    <w:rsid w:val="00B63DAC"/>
    <w:rsid w:val="00B64841"/>
    <w:rsid w:val="00B6490F"/>
    <w:rsid w:val="00B65CD0"/>
    <w:rsid w:val="00B759EA"/>
    <w:rsid w:val="00B77DAE"/>
    <w:rsid w:val="00B77F2E"/>
    <w:rsid w:val="00B84842"/>
    <w:rsid w:val="00B857AD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AFE"/>
    <w:rsid w:val="00BC4DE3"/>
    <w:rsid w:val="00BD0EAE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5BA2"/>
    <w:rsid w:val="00BF7CF1"/>
    <w:rsid w:val="00C006CD"/>
    <w:rsid w:val="00C04BF7"/>
    <w:rsid w:val="00C06889"/>
    <w:rsid w:val="00C10317"/>
    <w:rsid w:val="00C104E2"/>
    <w:rsid w:val="00C359BC"/>
    <w:rsid w:val="00C40747"/>
    <w:rsid w:val="00C4297C"/>
    <w:rsid w:val="00C43A6E"/>
    <w:rsid w:val="00C44D88"/>
    <w:rsid w:val="00C51D3D"/>
    <w:rsid w:val="00C55A77"/>
    <w:rsid w:val="00C5622F"/>
    <w:rsid w:val="00C57746"/>
    <w:rsid w:val="00C63A93"/>
    <w:rsid w:val="00C663FA"/>
    <w:rsid w:val="00C66AB8"/>
    <w:rsid w:val="00C71D5F"/>
    <w:rsid w:val="00C73686"/>
    <w:rsid w:val="00C75E49"/>
    <w:rsid w:val="00C76055"/>
    <w:rsid w:val="00C94719"/>
    <w:rsid w:val="00C94837"/>
    <w:rsid w:val="00C94FB8"/>
    <w:rsid w:val="00C9778E"/>
    <w:rsid w:val="00CA00E0"/>
    <w:rsid w:val="00CA08C6"/>
    <w:rsid w:val="00CA12E9"/>
    <w:rsid w:val="00CA1F8F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753"/>
    <w:rsid w:val="00CE2DD4"/>
    <w:rsid w:val="00CE5127"/>
    <w:rsid w:val="00CE70F9"/>
    <w:rsid w:val="00CF17A5"/>
    <w:rsid w:val="00CF1C20"/>
    <w:rsid w:val="00CF3359"/>
    <w:rsid w:val="00CF4E89"/>
    <w:rsid w:val="00CF77FF"/>
    <w:rsid w:val="00D034B7"/>
    <w:rsid w:val="00D06F76"/>
    <w:rsid w:val="00D13468"/>
    <w:rsid w:val="00D134A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5744F"/>
    <w:rsid w:val="00D61527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60EC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163F"/>
    <w:rsid w:val="00E14775"/>
    <w:rsid w:val="00E23903"/>
    <w:rsid w:val="00E25220"/>
    <w:rsid w:val="00E36CB1"/>
    <w:rsid w:val="00E375A2"/>
    <w:rsid w:val="00E4241B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4124"/>
    <w:rsid w:val="00EB4EB1"/>
    <w:rsid w:val="00EB5043"/>
    <w:rsid w:val="00EB5C53"/>
    <w:rsid w:val="00EB72E6"/>
    <w:rsid w:val="00EC42EB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567D"/>
    <w:rsid w:val="00F06244"/>
    <w:rsid w:val="00F07DD3"/>
    <w:rsid w:val="00F126C1"/>
    <w:rsid w:val="00F12DCA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44B66"/>
    <w:rsid w:val="00F50497"/>
    <w:rsid w:val="00F539C3"/>
    <w:rsid w:val="00F607D8"/>
    <w:rsid w:val="00F63240"/>
    <w:rsid w:val="00F7182A"/>
    <w:rsid w:val="00F721FC"/>
    <w:rsid w:val="00F81ED4"/>
    <w:rsid w:val="00F92DD5"/>
    <w:rsid w:val="00F97713"/>
    <w:rsid w:val="00FA0471"/>
    <w:rsid w:val="00FA27F9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405F"/>
    <w:rsid w:val="00FE6330"/>
    <w:rsid w:val="00FF04C7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84BF57"/>
  <w15:docId w15:val="{0CD836BD-CE5C-4138-9C73-8482AE341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3E8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A64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next w:val="af0"/>
    <w:uiPriority w:val="39"/>
    <w:rsid w:val="00A64E28"/>
    <w:rPr>
      <w:rFonts w:eastAsia="等线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8595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5117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C54CB5-35DF-44B3-B7CF-239D56236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11232</TotalTime>
  <Pages>4</Pages>
  <Words>909</Words>
  <Characters>5186</Characters>
  <Application>Microsoft Office Word</Application>
  <DocSecurity>0</DocSecurity>
  <Lines>43</Lines>
  <Paragraphs>12</Paragraphs>
  <ScaleCrop>false</ScaleCrop>
  <Company>Huawei Technologies Co.,Ltd.</Company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16</cp:revision>
  <dcterms:created xsi:type="dcterms:W3CDTF">2022-12-12T07:43:00Z</dcterms:created>
  <dcterms:modified xsi:type="dcterms:W3CDTF">2023-11-03T14:12:00Z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(3)zP5RPbvdB4D8/EwhF5B4xGLhixo22C3L2SfPeu54wV0D6utYD/WRiy32S+ykPU5IToCU9mHX
fKIqZrCEnu1fxPsEVjzPKrt0qRCjz80F3U3jFDcOamLDHtklmyQkNWsexRUD88WpZLcUJfan
OojaQENFU2PWG65HPcS58Q2UxdpcK3fZ6G64kJU3FrjzuokrfiW1pThjEwo7HPAZY4Bpp5to
I+pS4yI7548HcIS16S</vt:lpwstr>
  </property>
  <property fmtid="{D5CDD505-2E9C-101B-9397-08002B2CF9AE}" pid="3" name="_2015_ms_pID_7253431">
    <vt:lpwstr>h0G1iYLJ0wI3fKjQFJ5er3jie98TO2rf0ZGi9bxPtrGbyHiDtR0z1y
fIVe2EPNG1CLb5DHyLnwG7/8YOz65zgGIR7Zs3IUS5k54aqeJni28+yYOc+gQrMNSYU0Fls4
4PnqvbkmRvxS3USQt32G3i6uLaCrR6ZmyO+D8vsFZlr9/3U4khfNNKV5KgEfQaDdqp8Caml0
aoKLYhdbGKTGOx7Ixb0h8afF2r8PHOQwuOYg</vt:lpwstr>
  </property>
  <property fmtid="{D5CDD505-2E9C-101B-9397-08002B2CF9AE}" pid="4" name="_2015_ms_pID_7253432">
    <vt:lpwstr>W+PKAYHnexG81bCb5h9Osbc=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1699020763</vt:lpwstr>
  </property>
</Properties>
</file>